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D3" w:rsidRDefault="00E178D3"/>
    <w:tbl>
      <w:tblPr>
        <w:tblW w:w="8931" w:type="dxa"/>
        <w:tblInd w:w="-294" w:type="dxa"/>
        <w:shd w:val="clear" w:color="auto" w:fill="DEEAF6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24"/>
        <w:gridCol w:w="5605"/>
        <w:gridCol w:w="992"/>
      </w:tblGrid>
      <w:tr w:rsidR="00E178D3">
        <w:trPr>
          <w:trHeight w:val="396"/>
        </w:trPr>
        <w:tc>
          <w:tcPr>
            <w:tcW w:w="89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36"/>
                <w:szCs w:val="40"/>
              </w:rPr>
            </w:pPr>
            <w:r>
              <w:rPr>
                <w:rFonts w:hint="eastAsia"/>
                <w:b/>
                <w:bCs/>
                <w:sz w:val="36"/>
                <w:szCs w:val="40"/>
              </w:rPr>
              <w:t>在华</w:t>
            </w:r>
            <w:proofErr w:type="gramStart"/>
            <w:r>
              <w:rPr>
                <w:rFonts w:hint="eastAsia"/>
                <w:b/>
                <w:bCs/>
                <w:sz w:val="36"/>
                <w:szCs w:val="40"/>
              </w:rPr>
              <w:t>留学生</w:t>
            </w:r>
            <w:r>
              <w:rPr>
                <w:b/>
                <w:bCs/>
                <w:sz w:val="36"/>
                <w:szCs w:val="40"/>
              </w:rPr>
              <w:t>组</w:t>
            </w:r>
            <w:r w:rsidR="00015057" w:rsidRPr="00015057">
              <w:rPr>
                <w:b/>
                <w:bCs/>
                <w:color w:val="FF0000"/>
                <w:sz w:val="36"/>
                <w:szCs w:val="40"/>
              </w:rPr>
              <w:t>杭师大</w:t>
            </w:r>
            <w:proofErr w:type="gramEnd"/>
            <w:r w:rsidR="00015057" w:rsidRPr="00015057">
              <w:rPr>
                <w:b/>
                <w:bCs/>
                <w:color w:val="FF0000"/>
                <w:sz w:val="36"/>
                <w:szCs w:val="40"/>
              </w:rPr>
              <w:t>校内筛选</w:t>
            </w:r>
            <w:r>
              <w:rPr>
                <w:rFonts w:hint="eastAsia"/>
                <w:b/>
                <w:bCs/>
                <w:sz w:val="36"/>
                <w:szCs w:val="40"/>
              </w:rPr>
              <w:t>报告</w:t>
            </w:r>
            <w:r>
              <w:rPr>
                <w:b/>
                <w:bCs/>
                <w:sz w:val="36"/>
                <w:szCs w:val="40"/>
              </w:rPr>
              <w:t>打分表</w:t>
            </w:r>
            <w:r>
              <w:rPr>
                <w:rFonts w:hint="eastAsia"/>
                <w:b/>
                <w:bCs/>
                <w:sz w:val="36"/>
                <w:szCs w:val="40"/>
              </w:rPr>
              <w:t xml:space="preserve"> </w:t>
            </w:r>
          </w:p>
          <w:p w:rsidR="00E178D3" w:rsidRDefault="00E178D3">
            <w:pPr>
              <w:jc w:val="center"/>
              <w:rPr>
                <w:sz w:val="28"/>
                <w:szCs w:val="32"/>
              </w:rPr>
            </w:pPr>
          </w:p>
        </w:tc>
      </w:tr>
      <w:tr w:rsidR="00E178D3">
        <w:trPr>
          <w:trHeight w:val="20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打分项目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评价指标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得分</w:t>
            </w:r>
          </w:p>
        </w:tc>
      </w:tr>
      <w:tr w:rsidR="00E178D3">
        <w:trPr>
          <w:trHeight w:val="6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研究选题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选题新颖，有实际应用价值。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10</w:t>
            </w:r>
          </w:p>
        </w:tc>
      </w:tr>
      <w:tr w:rsidR="00E178D3">
        <w:trPr>
          <w:trHeight w:val="6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文献研究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选择与选题有关的文献和方案研究。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</w:tr>
      <w:tr w:rsidR="00E178D3">
        <w:trPr>
          <w:trHeight w:val="100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方案设计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方案设计具有完整性、科学性、合理性和可行性。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:rsidR="00E178D3">
        <w:trPr>
          <w:trHeight w:val="89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调查实施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调查组织科学合理，调查过程完整、清晰，数据处理严谨，调查质量控制有效。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20</w:t>
            </w:r>
          </w:p>
        </w:tc>
      </w:tr>
      <w:tr w:rsidR="00E178D3">
        <w:trPr>
          <w:trHeight w:val="9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分析与结论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数据运用充分，分析方法科学合理，支持结论，建议具有可操作性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25</w:t>
            </w:r>
          </w:p>
        </w:tc>
      </w:tr>
      <w:tr w:rsidR="00E178D3">
        <w:trPr>
          <w:trHeight w:val="80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6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报告文本</w:t>
            </w:r>
          </w:p>
        </w:tc>
        <w:tc>
          <w:tcPr>
            <w:tcW w:w="5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逻辑清晰，格式规范，文本精炼，图文生动，可读性强。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15</w:t>
            </w:r>
          </w:p>
        </w:tc>
      </w:tr>
      <w:tr w:rsidR="00E178D3">
        <w:trPr>
          <w:trHeight w:val="5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8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合计得分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78D3" w:rsidRDefault="000B7994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1</w:t>
            </w:r>
            <w:r>
              <w:rPr>
                <w:b/>
                <w:bCs/>
                <w:sz w:val="28"/>
                <w:szCs w:val="32"/>
              </w:rPr>
              <w:t>00</w:t>
            </w:r>
          </w:p>
        </w:tc>
      </w:tr>
    </w:tbl>
    <w:p w:rsidR="00E178D3" w:rsidRDefault="00E178D3"/>
    <w:p w:rsidR="00E178D3" w:rsidRDefault="000B7994">
      <w:pPr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注</w:t>
      </w:r>
      <w:r>
        <w:rPr>
          <w:rFonts w:ascii="仿宋" w:eastAsia="仿宋" w:hAnsi="仿宋" w:hint="eastAsia"/>
          <w:sz w:val="32"/>
          <w:szCs w:val="36"/>
        </w:rPr>
        <w:t xml:space="preserve"> 1</w:t>
      </w:r>
      <w:r>
        <w:rPr>
          <w:rFonts w:ascii="仿宋" w:eastAsia="仿宋" w:hAnsi="仿宋" w:hint="eastAsia"/>
          <w:sz w:val="32"/>
          <w:szCs w:val="36"/>
        </w:rPr>
        <w:t>：报告分</w:t>
      </w:r>
      <w:r>
        <w:rPr>
          <w:rFonts w:ascii="仿宋" w:eastAsia="仿宋" w:hAnsi="仿宋"/>
          <w:sz w:val="32"/>
          <w:szCs w:val="36"/>
        </w:rPr>
        <w:t>80</w:t>
      </w:r>
      <w:r>
        <w:rPr>
          <w:rFonts w:ascii="仿宋" w:eastAsia="仿宋" w:hAnsi="仿宋" w:hint="eastAsia"/>
          <w:sz w:val="32"/>
          <w:szCs w:val="36"/>
        </w:rPr>
        <w:t>分起评，最差不低于</w:t>
      </w:r>
      <w:r>
        <w:rPr>
          <w:rFonts w:ascii="仿宋" w:eastAsia="仿宋" w:hAnsi="仿宋"/>
          <w:sz w:val="32"/>
          <w:szCs w:val="36"/>
        </w:rPr>
        <w:t>70</w:t>
      </w:r>
      <w:r>
        <w:rPr>
          <w:rFonts w:ascii="仿宋" w:eastAsia="仿宋" w:hAnsi="仿宋" w:hint="eastAsia"/>
          <w:sz w:val="32"/>
          <w:szCs w:val="36"/>
        </w:rPr>
        <w:t>分。</w:t>
      </w:r>
    </w:p>
    <w:p w:rsidR="00E178D3" w:rsidRDefault="000B7994">
      <w:pPr>
        <w:spacing w:before="156" w:after="156"/>
        <w:ind w:firstLine="48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 w:hint="eastAsia"/>
          <w:sz w:val="32"/>
          <w:szCs w:val="36"/>
        </w:rPr>
        <w:t>：报告正文不超过</w:t>
      </w: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>万字，正文不含摘要</w:t>
      </w:r>
      <w:r>
        <w:rPr>
          <w:rFonts w:ascii="仿宋" w:eastAsia="仿宋" w:hAnsi="仿宋" w:hint="eastAsia"/>
          <w:sz w:val="32"/>
          <w:szCs w:val="36"/>
        </w:rPr>
        <w:t>、目录、</w:t>
      </w:r>
      <w:r>
        <w:rPr>
          <w:rFonts w:ascii="仿宋" w:eastAsia="仿宋" w:hAnsi="仿宋"/>
          <w:sz w:val="32"/>
          <w:szCs w:val="36"/>
        </w:rPr>
        <w:t>附录</w:t>
      </w:r>
      <w:r>
        <w:rPr>
          <w:rFonts w:ascii="仿宋" w:eastAsia="仿宋" w:hAnsi="仿宋" w:hint="eastAsia"/>
          <w:sz w:val="32"/>
          <w:szCs w:val="36"/>
        </w:rPr>
        <w:t>等正文以外的补充信息</w:t>
      </w:r>
      <w:r>
        <w:rPr>
          <w:rFonts w:ascii="仿宋" w:eastAsia="仿宋" w:hAnsi="仿宋"/>
          <w:sz w:val="32"/>
          <w:szCs w:val="36"/>
        </w:rPr>
        <w:t>。超出</w:t>
      </w:r>
      <w:r>
        <w:rPr>
          <w:rFonts w:ascii="仿宋" w:eastAsia="仿宋" w:hAnsi="仿宋"/>
          <w:sz w:val="32"/>
          <w:szCs w:val="36"/>
        </w:rPr>
        <w:t>1</w:t>
      </w:r>
      <w:r>
        <w:rPr>
          <w:rFonts w:ascii="仿宋" w:eastAsia="仿宋" w:hAnsi="仿宋"/>
          <w:sz w:val="32"/>
          <w:szCs w:val="36"/>
        </w:rPr>
        <w:t>万字以内扣</w:t>
      </w: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>分；超出</w:t>
      </w:r>
      <w:r>
        <w:rPr>
          <w:rFonts w:ascii="仿宋" w:eastAsia="仿宋" w:hAnsi="仿宋"/>
          <w:sz w:val="32"/>
          <w:szCs w:val="36"/>
        </w:rPr>
        <w:t>1</w:t>
      </w:r>
      <w:r>
        <w:rPr>
          <w:rFonts w:ascii="仿宋" w:eastAsia="仿宋" w:hAnsi="仿宋"/>
          <w:sz w:val="32"/>
          <w:szCs w:val="36"/>
        </w:rPr>
        <w:t>万字以上扣</w:t>
      </w:r>
      <w:r>
        <w:rPr>
          <w:rFonts w:ascii="仿宋" w:eastAsia="仿宋" w:hAnsi="仿宋"/>
          <w:sz w:val="32"/>
          <w:szCs w:val="36"/>
        </w:rPr>
        <w:t>3</w:t>
      </w:r>
      <w:r>
        <w:rPr>
          <w:rFonts w:ascii="仿宋" w:eastAsia="仿宋" w:hAnsi="仿宋"/>
          <w:sz w:val="32"/>
          <w:szCs w:val="36"/>
        </w:rPr>
        <w:t>分。</w:t>
      </w:r>
      <w:bookmarkStart w:id="0" w:name="_GoBack"/>
      <w:bookmarkEnd w:id="0"/>
    </w:p>
    <w:p w:rsidR="00E178D3" w:rsidRDefault="00E178D3"/>
    <w:p w:rsidR="00E178D3" w:rsidRDefault="00E178D3"/>
    <w:p w:rsidR="00E178D3" w:rsidRDefault="00E178D3"/>
    <w:sectPr w:rsidR="00E178D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A2664"/>
    <w:multiLevelType w:val="multilevel"/>
    <w:tmpl w:val="38EA2664"/>
    <w:lvl w:ilvl="0">
      <w:start w:val="1"/>
      <w:numFmt w:val="decimal"/>
      <w:lvlText w:val="%1．"/>
      <w:lvlJc w:val="left"/>
      <w:pPr>
        <w:ind w:left="100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5" w:hanging="440"/>
      </w:pPr>
    </w:lvl>
    <w:lvl w:ilvl="2">
      <w:start w:val="1"/>
      <w:numFmt w:val="lowerRoman"/>
      <w:lvlText w:val="%3."/>
      <w:lvlJc w:val="right"/>
      <w:pPr>
        <w:ind w:left="1605" w:hanging="440"/>
      </w:pPr>
    </w:lvl>
    <w:lvl w:ilvl="3">
      <w:start w:val="1"/>
      <w:numFmt w:val="decimal"/>
      <w:lvlText w:val="%4."/>
      <w:lvlJc w:val="left"/>
      <w:pPr>
        <w:ind w:left="2045" w:hanging="440"/>
      </w:pPr>
    </w:lvl>
    <w:lvl w:ilvl="4">
      <w:start w:val="1"/>
      <w:numFmt w:val="lowerLetter"/>
      <w:lvlText w:val="%5)"/>
      <w:lvlJc w:val="left"/>
      <w:pPr>
        <w:ind w:left="2485" w:hanging="440"/>
      </w:pPr>
    </w:lvl>
    <w:lvl w:ilvl="5">
      <w:start w:val="1"/>
      <w:numFmt w:val="lowerRoman"/>
      <w:lvlText w:val="%6."/>
      <w:lvlJc w:val="right"/>
      <w:pPr>
        <w:ind w:left="2925" w:hanging="440"/>
      </w:pPr>
    </w:lvl>
    <w:lvl w:ilvl="6">
      <w:start w:val="1"/>
      <w:numFmt w:val="decimal"/>
      <w:lvlText w:val="%7."/>
      <w:lvlJc w:val="left"/>
      <w:pPr>
        <w:ind w:left="3365" w:hanging="440"/>
      </w:pPr>
    </w:lvl>
    <w:lvl w:ilvl="7">
      <w:start w:val="1"/>
      <w:numFmt w:val="lowerLetter"/>
      <w:lvlText w:val="%8)"/>
      <w:lvlJc w:val="left"/>
      <w:pPr>
        <w:ind w:left="3805" w:hanging="440"/>
      </w:pPr>
    </w:lvl>
    <w:lvl w:ilvl="8">
      <w:start w:val="1"/>
      <w:numFmt w:val="lowerRoman"/>
      <w:lvlText w:val="%9."/>
      <w:lvlJc w:val="right"/>
      <w:pPr>
        <w:ind w:left="4245" w:hanging="440"/>
      </w:pPr>
    </w:lvl>
  </w:abstractNum>
  <w:abstractNum w:abstractNumId="1">
    <w:nsid w:val="673F2583"/>
    <w:multiLevelType w:val="multilevel"/>
    <w:tmpl w:val="673F2583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5MzY1NTMzMTFlOWI1NDI2Yzg4MGIwZjFhOGNhODQifQ=="/>
  </w:docVars>
  <w:rsids>
    <w:rsidRoot w:val="0033094E"/>
    <w:rsid w:val="00015057"/>
    <w:rsid w:val="00035B44"/>
    <w:rsid w:val="000407E8"/>
    <w:rsid w:val="00060907"/>
    <w:rsid w:val="00063830"/>
    <w:rsid w:val="000A3260"/>
    <w:rsid w:val="000B7994"/>
    <w:rsid w:val="00144360"/>
    <w:rsid w:val="00160D4C"/>
    <w:rsid w:val="00162A58"/>
    <w:rsid w:val="001A3A09"/>
    <w:rsid w:val="001D4B6A"/>
    <w:rsid w:val="00200012"/>
    <w:rsid w:val="00205585"/>
    <w:rsid w:val="0020700D"/>
    <w:rsid w:val="00253A14"/>
    <w:rsid w:val="00255A8F"/>
    <w:rsid w:val="00285B16"/>
    <w:rsid w:val="002B2B60"/>
    <w:rsid w:val="002C6AF8"/>
    <w:rsid w:val="003104A7"/>
    <w:rsid w:val="003119FA"/>
    <w:rsid w:val="0032372A"/>
    <w:rsid w:val="003272F1"/>
    <w:rsid w:val="0033094E"/>
    <w:rsid w:val="0037320D"/>
    <w:rsid w:val="00385A87"/>
    <w:rsid w:val="0042411B"/>
    <w:rsid w:val="004345AF"/>
    <w:rsid w:val="004857B1"/>
    <w:rsid w:val="004B1AD8"/>
    <w:rsid w:val="004F3305"/>
    <w:rsid w:val="00565038"/>
    <w:rsid w:val="00573827"/>
    <w:rsid w:val="00593736"/>
    <w:rsid w:val="006026AC"/>
    <w:rsid w:val="00647355"/>
    <w:rsid w:val="00664F52"/>
    <w:rsid w:val="006877BE"/>
    <w:rsid w:val="006A031D"/>
    <w:rsid w:val="006C4871"/>
    <w:rsid w:val="006C60BE"/>
    <w:rsid w:val="006D4258"/>
    <w:rsid w:val="006F47A0"/>
    <w:rsid w:val="006F4FCD"/>
    <w:rsid w:val="0070798C"/>
    <w:rsid w:val="00845075"/>
    <w:rsid w:val="008F5B22"/>
    <w:rsid w:val="008F7788"/>
    <w:rsid w:val="0090513F"/>
    <w:rsid w:val="009279E8"/>
    <w:rsid w:val="00963A59"/>
    <w:rsid w:val="009A5F92"/>
    <w:rsid w:val="009D02FE"/>
    <w:rsid w:val="00A51ABE"/>
    <w:rsid w:val="00A6545E"/>
    <w:rsid w:val="00A704FE"/>
    <w:rsid w:val="00A77512"/>
    <w:rsid w:val="00A82FED"/>
    <w:rsid w:val="00A90528"/>
    <w:rsid w:val="00AB1670"/>
    <w:rsid w:val="00AF01DA"/>
    <w:rsid w:val="00BC4776"/>
    <w:rsid w:val="00BE060D"/>
    <w:rsid w:val="00C01CB9"/>
    <w:rsid w:val="00C25C05"/>
    <w:rsid w:val="00C56CB1"/>
    <w:rsid w:val="00C74C48"/>
    <w:rsid w:val="00CE03ED"/>
    <w:rsid w:val="00CE135C"/>
    <w:rsid w:val="00D022E5"/>
    <w:rsid w:val="00D15743"/>
    <w:rsid w:val="00D30AB4"/>
    <w:rsid w:val="00D85C13"/>
    <w:rsid w:val="00DB724A"/>
    <w:rsid w:val="00DC6BCD"/>
    <w:rsid w:val="00DE45BA"/>
    <w:rsid w:val="00DF7C23"/>
    <w:rsid w:val="00E0780E"/>
    <w:rsid w:val="00E178D3"/>
    <w:rsid w:val="00E51F3B"/>
    <w:rsid w:val="00E70F9E"/>
    <w:rsid w:val="00E80A17"/>
    <w:rsid w:val="00EF48C3"/>
    <w:rsid w:val="00F120CD"/>
    <w:rsid w:val="00F13660"/>
    <w:rsid w:val="00F15292"/>
    <w:rsid w:val="00F27367"/>
    <w:rsid w:val="00F54429"/>
    <w:rsid w:val="00F634A9"/>
    <w:rsid w:val="00F82E09"/>
    <w:rsid w:val="00FD443D"/>
    <w:rsid w:val="06F51A39"/>
    <w:rsid w:val="06FE4B47"/>
    <w:rsid w:val="09B56585"/>
    <w:rsid w:val="09E458E3"/>
    <w:rsid w:val="22AF4D3A"/>
    <w:rsid w:val="290A210C"/>
    <w:rsid w:val="2C2B3683"/>
    <w:rsid w:val="371A626A"/>
    <w:rsid w:val="3B0D3635"/>
    <w:rsid w:val="42EC1680"/>
    <w:rsid w:val="7066120E"/>
    <w:rsid w:val="74921182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2A158-69D9-4284-9EDC-F0608557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2">
    <w:name w:val="批注主题 Char"/>
    <w:basedOn w:val="Char"/>
    <w:link w:val="a7"/>
    <w:uiPriority w:val="99"/>
    <w:semiHidden/>
    <w:qFormat/>
    <w:rPr>
      <w:b/>
      <w:bCs/>
    </w:r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D831-D66E-43FF-AAE0-A074738F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老师 江</dc:creator>
  <cp:lastModifiedBy>yhj</cp:lastModifiedBy>
  <cp:revision>2</cp:revision>
  <cp:lastPrinted>2023-11-29T06:27:00Z</cp:lastPrinted>
  <dcterms:created xsi:type="dcterms:W3CDTF">2025-10-10T01:23:00Z</dcterms:created>
  <dcterms:modified xsi:type="dcterms:W3CDTF">2025-10-10T01:23:00Z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E873873EDDF84C158FC7CAC85631A908_12</vt:lpwstr>
  </property>
</Properties>
</file>